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215" w14:textId="77777777" w:rsidR="00476A87" w:rsidRPr="007D7534" w:rsidRDefault="00476A87" w:rsidP="001B4984">
      <w:pPr>
        <w:pStyle w:val="Heading1"/>
        <w:rPr>
          <w:rFonts w:eastAsia="Times New Roman"/>
          <w:lang w:eastAsia="en-AU"/>
        </w:rPr>
      </w:pPr>
      <w:r w:rsidRPr="007D7534">
        <w:rPr>
          <w:rFonts w:eastAsia="Times New Roman"/>
          <w:lang w:eastAsia="en-AU"/>
        </w:rPr>
        <w:t>Urinary Catheter Governance</w:t>
      </w:r>
    </w:p>
    <w:p w14:paraId="792E2D64" w14:textId="6BA99168" w:rsidR="00C76FAE" w:rsidRDefault="00C76FAE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Aged Care Quality Standards in Australia are being updated under the new </w:t>
      </w:r>
      <w:r w:rsidRPr="00C76FAE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Aged Care Act 2024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with the enhanced standards becoming effective on </w:t>
      </w:r>
      <w:r w:rsidRPr="00C76FAE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1 November 2025</w:t>
      </w:r>
      <w:r w:rsidRPr="007D7534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.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538BC59A" w14:textId="77777777" w:rsidR="001B4984" w:rsidRPr="00C76FAE" w:rsidRDefault="001B4984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7B9049B0" w14:textId="77777777" w:rsidR="00C76FAE" w:rsidRPr="00C76FAE" w:rsidRDefault="00C76FAE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Importantly, </w:t>
      </w:r>
      <w:r w:rsidRPr="00C76FAE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Standard 5: Clinical Care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includes explicit expectations around infection prevention, continence management, and clinical safety. The </w:t>
      </w:r>
      <w:r w:rsidRPr="00C76FAE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safe management of indwelling devices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such as urinary catheters, lies within these expectations. </w:t>
      </w:r>
    </w:p>
    <w:p w14:paraId="6967E896" w14:textId="3EA56EE9" w:rsidR="00C76FAE" w:rsidRPr="007D7534" w:rsidRDefault="00C76FAE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The </w:t>
      </w:r>
      <w:r w:rsidRPr="00C76FAE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Aged Care Infection Prevention and Control Guide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5F6EE4" w:rsidRPr="007D753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(2024) 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>an interpretive and supporting resource for Standard 5—explicitly addresses invasive devices, including indwelling urinary catheters</w:t>
      </w:r>
      <w:r w:rsidR="005F6EE4" w:rsidRPr="007D753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– Ch 5 pages 98-99</w:t>
      </w:r>
      <w:r w:rsidRPr="00C76FAE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.  </w:t>
      </w:r>
      <w:hyperlink r:id="rId5" w:history="1">
        <w:r w:rsidR="005F6EE4" w:rsidRPr="007D7534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https://www.safetyandquality.gov.au/sites/default/files/2024-08/The-Aged-Care-Infection-Prevention-and-Control-Guide.pdf</w:t>
        </w:r>
      </w:hyperlink>
    </w:p>
    <w:p w14:paraId="5082BDD9" w14:textId="2C97C333" w:rsidR="00476A87" w:rsidRDefault="005F6EE4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D7534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Australian Guidelines for the Prevention and Control of Infection in Healthcare</w:t>
      </w:r>
      <w:r w:rsidRPr="007D753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(2019)</w:t>
      </w:r>
      <w:r w:rsidRPr="007D7534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Section 3.5.2.1 Indwelling urinary catheter also addresses the management of indwelling urinary devices.</w:t>
      </w:r>
      <w:r w:rsidRPr="007D7534">
        <w:rPr>
          <w:rFonts w:ascii="Calibri" w:hAnsi="Calibri" w:cs="Calibri"/>
        </w:rPr>
        <w:t xml:space="preserve"> </w:t>
      </w:r>
      <w:hyperlink r:id="rId6" w:history="1">
        <w:r w:rsidRPr="007D7534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https://app.magicapp.org/#/guideline/Jn37kn</w:t>
        </w:r>
      </w:hyperlink>
    </w:p>
    <w:p w14:paraId="0616152D" w14:textId="77777777" w:rsidR="007D7534" w:rsidRPr="007D7534" w:rsidRDefault="007D7534" w:rsidP="007D7534">
      <w:pPr>
        <w:spacing w:after="0" w:line="36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4FF60457" w14:textId="77777777" w:rsidR="005F6EE4" w:rsidRPr="007D7534" w:rsidRDefault="00C76FAE" w:rsidP="007D7534">
      <w:pPr>
        <w:spacing w:after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Poor confidence and delays in managing catheter complications are </w:t>
      </w:r>
      <w:r w:rsidRPr="007D7534">
        <w:rPr>
          <w:rFonts w:ascii="Calibri" w:hAnsi="Calibri" w:cs="Calibri"/>
        </w:rPr>
        <w:t>acknowledged in aged care settings</w:t>
      </w:r>
      <w:r w:rsidRPr="007D7534">
        <w:rPr>
          <w:rFonts w:ascii="Calibri" w:hAnsi="Calibri" w:cs="Calibri"/>
        </w:rPr>
        <w:t>. Recommendations include structured education for nurses and personal care workers, emotional support for residents, and shared decision making to support quality of life and dignity in catheter care.</w:t>
      </w:r>
      <w:r w:rsidRPr="007D7534">
        <w:rPr>
          <w:rFonts w:ascii="Calibri" w:hAnsi="Calibri" w:cs="Calibri"/>
        </w:rPr>
        <w:t xml:space="preserve"> </w:t>
      </w:r>
    </w:p>
    <w:p w14:paraId="1881F1FC" w14:textId="18B0C158" w:rsidR="008D711F" w:rsidRPr="007D7534" w:rsidRDefault="00C76FAE" w:rsidP="007D7534">
      <w:pPr>
        <w:spacing w:after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Research initiatives like the IDC IMPROVE project led by the National Ageing Research Institute aim to strengthen workforce capacity in catheter care under a </w:t>
      </w:r>
      <w:r w:rsidRPr="007D7534">
        <w:rPr>
          <w:rFonts w:ascii="Calibri" w:hAnsi="Calibri" w:cs="Calibri"/>
        </w:rPr>
        <w:t>person-centred</w:t>
      </w:r>
      <w:r w:rsidRPr="007D7534">
        <w:rPr>
          <w:rFonts w:ascii="Calibri" w:hAnsi="Calibri" w:cs="Calibri"/>
        </w:rPr>
        <w:t xml:space="preserve"> framework, reflecting the growing focus on improved IDC management in aged care settings (nari.net.au)</w:t>
      </w:r>
    </w:p>
    <w:p w14:paraId="71FE3535" w14:textId="77777777" w:rsidR="00C76FAE" w:rsidRPr="007D7534" w:rsidRDefault="00C76FAE" w:rsidP="007D7534">
      <w:pPr>
        <w:spacing w:after="0" w:line="360" w:lineRule="auto"/>
        <w:rPr>
          <w:rFonts w:ascii="Calibri" w:hAnsi="Calibri" w:cs="Calibri"/>
        </w:rPr>
      </w:pPr>
    </w:p>
    <w:p w14:paraId="14BFE6B7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6D7D27F5" w14:textId="3AC588F2" w:rsidR="00476A87" w:rsidRPr="001B4984" w:rsidRDefault="001B4984" w:rsidP="001B4984">
      <w:pPr>
        <w:pStyle w:val="Heading2"/>
      </w:pPr>
      <w:r>
        <w:lastRenderedPageBreak/>
        <w:t>Applying the Standards and Guidelines to Practice</w:t>
      </w:r>
    </w:p>
    <w:p w14:paraId="443E9B03" w14:textId="086E2F70" w:rsidR="00C76FAE" w:rsidRPr="007D7534" w:rsidRDefault="00C76FAE" w:rsidP="007D7534">
      <w:pPr>
        <w:spacing w:after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To assist with understanding the </w:t>
      </w:r>
      <w:r w:rsidRPr="007D7534">
        <w:rPr>
          <w:rFonts w:ascii="Calibri" w:hAnsi="Calibri" w:cs="Calibri"/>
        </w:rPr>
        <w:t>Aged Care Quality Standards</w:t>
      </w:r>
      <w:r w:rsidRPr="007D7534">
        <w:rPr>
          <w:rFonts w:ascii="Calibri" w:hAnsi="Calibri" w:cs="Calibri"/>
        </w:rPr>
        <w:t xml:space="preserve"> expectations in the management of urinary catheters a table is provided below. </w:t>
      </w:r>
    </w:p>
    <w:p w14:paraId="76E061C3" w14:textId="77777777" w:rsidR="008D711F" w:rsidRPr="007D7534" w:rsidRDefault="008D711F" w:rsidP="007D7534">
      <w:pPr>
        <w:spacing w:after="0" w:line="360" w:lineRule="auto"/>
        <w:rPr>
          <w:rFonts w:ascii="Calibri" w:hAnsi="Calibri" w:cs="Calibri"/>
        </w:rPr>
      </w:pPr>
    </w:p>
    <w:tbl>
      <w:tblPr>
        <w:tblW w:w="15877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741"/>
        <w:gridCol w:w="3070"/>
        <w:gridCol w:w="2835"/>
        <w:gridCol w:w="2977"/>
      </w:tblGrid>
      <w:tr w:rsidR="008D711F" w:rsidRPr="007D7534" w14:paraId="06DDE0D7" w14:textId="77777777" w:rsidTr="001B4984">
        <w:trPr>
          <w:tblHeader/>
          <w:tblCellSpacing w:w="15" w:type="dxa"/>
        </w:trPr>
        <w:tc>
          <w:tcPr>
            <w:tcW w:w="1515" w:type="dxa"/>
            <w:shd w:val="clear" w:color="auto" w:fill="156082" w:themeFill="accent1"/>
            <w:vAlign w:val="center"/>
            <w:hideMark/>
          </w:tcPr>
          <w:p w14:paraId="7EEB801C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Area</w:t>
            </w:r>
          </w:p>
        </w:tc>
        <w:tc>
          <w:tcPr>
            <w:tcW w:w="2664" w:type="dxa"/>
            <w:shd w:val="clear" w:color="auto" w:fill="156082" w:themeFill="accent1"/>
            <w:vAlign w:val="center"/>
            <w:hideMark/>
          </w:tcPr>
          <w:p w14:paraId="2B9EA45D" w14:textId="77777777" w:rsidR="008D711F" w:rsidRPr="0085739E" w:rsidRDefault="008D711F" w:rsidP="007D753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Strengthened Standards: requirement / intent</w:t>
            </w:r>
          </w:p>
        </w:tc>
        <w:tc>
          <w:tcPr>
            <w:tcW w:w="2711" w:type="dxa"/>
            <w:shd w:val="clear" w:color="auto" w:fill="156082" w:themeFill="accent1"/>
            <w:vAlign w:val="center"/>
            <w:hideMark/>
          </w:tcPr>
          <w:p w14:paraId="001456BC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Practical measures (what staff do)</w:t>
            </w:r>
          </w:p>
        </w:tc>
        <w:tc>
          <w:tcPr>
            <w:tcW w:w="3040" w:type="dxa"/>
            <w:shd w:val="clear" w:color="auto" w:fill="156082" w:themeFill="accent1"/>
            <w:vAlign w:val="center"/>
            <w:hideMark/>
          </w:tcPr>
          <w:p w14:paraId="275020B2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Documentation &amp; monitoring (what to record / audit)</w:t>
            </w:r>
          </w:p>
        </w:tc>
        <w:tc>
          <w:tcPr>
            <w:tcW w:w="2805" w:type="dxa"/>
            <w:shd w:val="clear" w:color="auto" w:fill="156082" w:themeFill="accent1"/>
            <w:vAlign w:val="center"/>
            <w:hideMark/>
          </w:tcPr>
          <w:p w14:paraId="4803218F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Workforce / training &amp; capability</w:t>
            </w:r>
          </w:p>
        </w:tc>
        <w:tc>
          <w:tcPr>
            <w:tcW w:w="2932" w:type="dxa"/>
            <w:shd w:val="clear" w:color="auto" w:fill="156082" w:themeFill="accent1"/>
            <w:vAlign w:val="center"/>
            <w:hideMark/>
          </w:tcPr>
          <w:p w14:paraId="3B2B4AB5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Escalation / clinical review triggers</w:t>
            </w:r>
          </w:p>
        </w:tc>
      </w:tr>
      <w:tr w:rsidR="008D711F" w:rsidRPr="001B4984" w14:paraId="11C901E7" w14:textId="77777777" w:rsidTr="001B4984">
        <w:trPr>
          <w:tblCellSpacing w:w="15" w:type="dxa"/>
        </w:trPr>
        <w:tc>
          <w:tcPr>
            <w:tcW w:w="1515" w:type="dxa"/>
            <w:shd w:val="clear" w:color="auto" w:fill="C1E4F5" w:themeFill="accent1" w:themeFillTint="33"/>
            <w:vAlign w:val="center"/>
            <w:hideMark/>
          </w:tcPr>
          <w:p w14:paraId="09075ED7" w14:textId="77777777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Infection prevention</w:t>
            </w:r>
          </w:p>
        </w:tc>
        <w:tc>
          <w:tcPr>
            <w:tcW w:w="2664" w:type="dxa"/>
            <w:hideMark/>
          </w:tcPr>
          <w:p w14:paraId="7ACE2390" w14:textId="77777777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Providers must implement IPC systems, standard &amp; transmission-based precautions and safe invasive procedure practice (Standard 5 — Clinical Care; IPC Guide) to reduce infection risk for people receiving clinical care. </w:t>
            </w:r>
          </w:p>
        </w:tc>
        <w:tc>
          <w:tcPr>
            <w:tcW w:w="2711" w:type="dxa"/>
            <w:hideMark/>
          </w:tcPr>
          <w:p w14:paraId="513733C3" w14:textId="17871C70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- Use aseptic technique for insertion/changes; maintain closed drainage system; hand hygiene before/after care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and PPE use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; don gloves &amp; apron 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(risk assess)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when handling catheter or drainage bag; routine 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x2 daily catheter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exit-site hygiene (soap &amp; water). Maintain bag below bladder, avoid kinks, and replace/accessory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items per 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local or manufacturers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policy. </w:t>
            </w:r>
          </w:p>
        </w:tc>
        <w:tc>
          <w:tcPr>
            <w:tcW w:w="3040" w:type="dxa"/>
            <w:hideMark/>
          </w:tcPr>
          <w:p w14:paraId="4DC9A1C5" w14:textId="18EB86D7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- Record indication, insertion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/removal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date, catheter type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and size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, date of scheduled change, episodes of suspected/confirmed CAUTI, 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complications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and cleaning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/changing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of drainage system. Daily clinical reviews must be documented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, along with removal plans as appropriate.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</w:p>
        </w:tc>
        <w:tc>
          <w:tcPr>
            <w:tcW w:w="2805" w:type="dxa"/>
            <w:hideMark/>
          </w:tcPr>
          <w:p w14:paraId="4B4FEBEA" w14:textId="0256511F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- Mandate competency for clinicians performing insertion/changes (RN/EN), and train 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all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staff in IPC, safe 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catheter maintenance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technique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s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, PPE use, and catheter care bundles (e.g., IDC-IMPROVE bundle). Regular refreshers and local competency sign-off. </w:t>
            </w:r>
          </w:p>
        </w:tc>
        <w:tc>
          <w:tcPr>
            <w:tcW w:w="2932" w:type="dxa"/>
            <w:hideMark/>
          </w:tcPr>
          <w:p w14:paraId="541A58AF" w14:textId="77777777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- New fever, rigors, suprapubic pain, cloudy/foul urine plus systemic signs → escalate for clinical review and likely urine culture/antibiotic review. Any suspected CAUTI or device failure (leak, blockage) triggers RN/NP/GP review. Document escalation and actions. </w:t>
            </w:r>
          </w:p>
        </w:tc>
      </w:tr>
    </w:tbl>
    <w:p w14:paraId="2DCA1D03" w14:textId="77777777" w:rsidR="001B4984" w:rsidRPr="001B4984" w:rsidRDefault="001B4984" w:rsidP="007D7534">
      <w:pPr>
        <w:spacing w:after="0" w:line="360" w:lineRule="auto"/>
        <w:rPr>
          <w:rFonts w:ascii="Calibri" w:hAnsi="Calibri" w:cs="Calibri"/>
        </w:rPr>
      </w:pPr>
    </w:p>
    <w:tbl>
      <w:tblPr>
        <w:tblW w:w="15877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741"/>
        <w:gridCol w:w="3070"/>
        <w:gridCol w:w="2835"/>
        <w:gridCol w:w="2977"/>
      </w:tblGrid>
      <w:tr w:rsidR="001B4984" w:rsidRPr="001B4984" w14:paraId="01C5314A" w14:textId="77777777" w:rsidTr="001B4984">
        <w:trPr>
          <w:tblHeader/>
          <w:tblCellSpacing w:w="15" w:type="dxa"/>
        </w:trPr>
        <w:tc>
          <w:tcPr>
            <w:tcW w:w="1515" w:type="dxa"/>
            <w:shd w:val="clear" w:color="auto" w:fill="156082" w:themeFill="accent1"/>
            <w:vAlign w:val="center"/>
            <w:hideMark/>
          </w:tcPr>
          <w:p w14:paraId="63D2D57F" w14:textId="77777777" w:rsidR="001B4984" w:rsidRPr="0085739E" w:rsidRDefault="001B4984" w:rsidP="00D25FF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Area</w:t>
            </w:r>
          </w:p>
        </w:tc>
        <w:tc>
          <w:tcPr>
            <w:tcW w:w="2664" w:type="dxa"/>
            <w:shd w:val="clear" w:color="auto" w:fill="156082" w:themeFill="accent1"/>
            <w:vAlign w:val="center"/>
            <w:hideMark/>
          </w:tcPr>
          <w:p w14:paraId="2A55472C" w14:textId="77777777" w:rsidR="001B4984" w:rsidRPr="0085739E" w:rsidRDefault="001B4984" w:rsidP="00D25FF6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Strengthened Standards: requirement / intent</w:t>
            </w:r>
          </w:p>
        </w:tc>
        <w:tc>
          <w:tcPr>
            <w:tcW w:w="2711" w:type="dxa"/>
            <w:shd w:val="clear" w:color="auto" w:fill="156082" w:themeFill="accent1"/>
            <w:vAlign w:val="center"/>
            <w:hideMark/>
          </w:tcPr>
          <w:p w14:paraId="24983B40" w14:textId="77777777" w:rsidR="001B4984" w:rsidRPr="0085739E" w:rsidRDefault="001B4984" w:rsidP="00D25FF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Practical measures (what staff do)</w:t>
            </w:r>
          </w:p>
        </w:tc>
        <w:tc>
          <w:tcPr>
            <w:tcW w:w="3040" w:type="dxa"/>
            <w:shd w:val="clear" w:color="auto" w:fill="156082" w:themeFill="accent1"/>
            <w:vAlign w:val="center"/>
            <w:hideMark/>
          </w:tcPr>
          <w:p w14:paraId="7F25DF09" w14:textId="77777777" w:rsidR="001B4984" w:rsidRPr="0085739E" w:rsidRDefault="001B4984" w:rsidP="00D25FF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Documentation &amp; monitoring (what to record / audit)</w:t>
            </w:r>
          </w:p>
        </w:tc>
        <w:tc>
          <w:tcPr>
            <w:tcW w:w="2805" w:type="dxa"/>
            <w:shd w:val="clear" w:color="auto" w:fill="156082" w:themeFill="accent1"/>
            <w:vAlign w:val="center"/>
            <w:hideMark/>
          </w:tcPr>
          <w:p w14:paraId="6AEA65D6" w14:textId="77777777" w:rsidR="001B4984" w:rsidRPr="0085739E" w:rsidRDefault="001B4984" w:rsidP="00D25FF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Workforce / training &amp; capability</w:t>
            </w:r>
          </w:p>
        </w:tc>
        <w:tc>
          <w:tcPr>
            <w:tcW w:w="2932" w:type="dxa"/>
            <w:shd w:val="clear" w:color="auto" w:fill="156082" w:themeFill="accent1"/>
            <w:vAlign w:val="center"/>
            <w:hideMark/>
          </w:tcPr>
          <w:p w14:paraId="3D51AF77" w14:textId="77777777" w:rsidR="001B4984" w:rsidRPr="0085739E" w:rsidRDefault="001B4984" w:rsidP="00D25FF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Escalation / clinical review triggers</w:t>
            </w:r>
          </w:p>
        </w:tc>
      </w:tr>
      <w:tr w:rsidR="001B4984" w:rsidRPr="001B4984" w14:paraId="7A12CD22" w14:textId="77777777" w:rsidTr="001B4984">
        <w:trPr>
          <w:tblCellSpacing w:w="15" w:type="dxa"/>
        </w:trPr>
        <w:tc>
          <w:tcPr>
            <w:tcW w:w="1515" w:type="dxa"/>
            <w:shd w:val="clear" w:color="auto" w:fill="C1E4F5" w:themeFill="accent1" w:themeFillTint="33"/>
            <w:vAlign w:val="center"/>
          </w:tcPr>
          <w:p w14:paraId="05009B2F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Continence management</w:t>
            </w:r>
          </w:p>
        </w:tc>
        <w:tc>
          <w:tcPr>
            <w:tcW w:w="2664" w:type="dxa"/>
          </w:tcPr>
          <w:p w14:paraId="034E0F81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Strengthened Standards require services to support wellbeing, independence and choice, and to provide person-centred clinical care that minimises unnecessary invasive devices. Catheterisation must follow clinical decision-making and least-restrictive principles. </w:t>
            </w:r>
          </w:p>
        </w:tc>
        <w:tc>
          <w:tcPr>
            <w:tcW w:w="2711" w:type="dxa"/>
          </w:tcPr>
          <w:p w14:paraId="64B57F86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- Consider alternatives first (timed toileting, pads, intermittent catheterisation where appropriate). Use catheter only for valid indications (retention, accurate output, wound management, end-of-life).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Assess for differing drainage bag options – large continuous flow or 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leg bags and night bags.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Conduct continence assessment at entry and regularly thereafter; include resident preferences in care planning. </w:t>
            </w:r>
          </w:p>
        </w:tc>
        <w:tc>
          <w:tcPr>
            <w:tcW w:w="3040" w:type="dxa"/>
          </w:tcPr>
          <w:p w14:paraId="21EA270E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- Document continence assessment, reason for IDC, resident consent/choice, trial of void plan, and review dates. Include goals (quality of life, mobility), non-device strategies attempted, and outcomes of catheter removal attempts. Audit proportion of residents with IDC, duration of catheterisation, and trials of removal. </w:t>
            </w:r>
          </w:p>
        </w:tc>
        <w:tc>
          <w:tcPr>
            <w:tcW w:w="2805" w:type="dxa"/>
          </w:tcPr>
          <w:p w14:paraId="2EE912D6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- Train staff in continence assessment, alternatives to IDC, and communication/consent skills for shared decision making. Equip staff to support trials of void and hydration strategies. Use specialist input (continence nurse/GP) for complex cases. </w:t>
            </w:r>
          </w:p>
        </w:tc>
        <w:tc>
          <w:tcPr>
            <w:tcW w:w="2932" w:type="dxa"/>
          </w:tcPr>
          <w:p w14:paraId="3E8471E9" w14:textId="77777777" w:rsidR="001B4984" w:rsidRPr="0085739E" w:rsidRDefault="001B4984" w:rsidP="00D25FF6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- Catheter in place longer than planned,</w:t>
            </w:r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review for drainage bag </w:t>
            </w:r>
            <w:proofErr w:type="gramStart"/>
            <w:r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changes,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inability</w:t>
            </w:r>
            <w:proofErr w:type="gramEnd"/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to trial void, skin breakdown related to incontinence, or adverse resident experience → multidisciplinary review (RN, GP, continence nurse) to reassess indication and plan. </w:t>
            </w:r>
          </w:p>
        </w:tc>
      </w:tr>
    </w:tbl>
    <w:p w14:paraId="3E549B38" w14:textId="77777777" w:rsidR="001B4984" w:rsidRPr="001B4984" w:rsidRDefault="001B4984" w:rsidP="001B4984">
      <w:pPr>
        <w:spacing w:after="0" w:line="360" w:lineRule="auto"/>
        <w:rPr>
          <w:rFonts w:ascii="Calibri" w:hAnsi="Calibri" w:cs="Calibri"/>
        </w:rPr>
      </w:pPr>
    </w:p>
    <w:p w14:paraId="2858E28D" w14:textId="77777777" w:rsidR="008D711F" w:rsidRPr="001B4984" w:rsidRDefault="008D711F" w:rsidP="007D7534">
      <w:pPr>
        <w:spacing w:after="0" w:line="360" w:lineRule="auto"/>
        <w:rPr>
          <w:rFonts w:ascii="Calibri" w:hAnsi="Calibri" w:cs="Calibri"/>
        </w:rPr>
      </w:pPr>
    </w:p>
    <w:tbl>
      <w:tblPr>
        <w:tblW w:w="15877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94"/>
        <w:gridCol w:w="2741"/>
        <w:gridCol w:w="3070"/>
        <w:gridCol w:w="2835"/>
        <w:gridCol w:w="2977"/>
      </w:tblGrid>
      <w:tr w:rsidR="008D711F" w:rsidRPr="001B4984" w14:paraId="22885254" w14:textId="77777777" w:rsidTr="001B4984">
        <w:trPr>
          <w:tblHeader/>
          <w:tblCellSpacing w:w="15" w:type="dxa"/>
        </w:trPr>
        <w:tc>
          <w:tcPr>
            <w:tcW w:w="1515" w:type="dxa"/>
            <w:shd w:val="clear" w:color="auto" w:fill="156082" w:themeFill="accent1"/>
            <w:vAlign w:val="center"/>
            <w:hideMark/>
          </w:tcPr>
          <w:p w14:paraId="2D13FF56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Area</w:t>
            </w:r>
          </w:p>
        </w:tc>
        <w:tc>
          <w:tcPr>
            <w:tcW w:w="2664" w:type="dxa"/>
            <w:shd w:val="clear" w:color="auto" w:fill="156082" w:themeFill="accent1"/>
            <w:vAlign w:val="center"/>
            <w:hideMark/>
          </w:tcPr>
          <w:p w14:paraId="7337554A" w14:textId="77777777" w:rsidR="008D711F" w:rsidRPr="0085739E" w:rsidRDefault="008D711F" w:rsidP="007D7534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Strengthened Standards: requirement / intent</w:t>
            </w:r>
          </w:p>
        </w:tc>
        <w:tc>
          <w:tcPr>
            <w:tcW w:w="2711" w:type="dxa"/>
            <w:shd w:val="clear" w:color="auto" w:fill="156082" w:themeFill="accent1"/>
            <w:vAlign w:val="center"/>
            <w:hideMark/>
          </w:tcPr>
          <w:p w14:paraId="2CCFE9ED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Practical measures (what staff do)</w:t>
            </w:r>
          </w:p>
        </w:tc>
        <w:tc>
          <w:tcPr>
            <w:tcW w:w="3040" w:type="dxa"/>
            <w:shd w:val="clear" w:color="auto" w:fill="156082" w:themeFill="accent1"/>
            <w:vAlign w:val="center"/>
            <w:hideMark/>
          </w:tcPr>
          <w:p w14:paraId="3F4DEE42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Documentation &amp; monitoring (what to record / audit)</w:t>
            </w:r>
          </w:p>
        </w:tc>
        <w:tc>
          <w:tcPr>
            <w:tcW w:w="2805" w:type="dxa"/>
            <w:shd w:val="clear" w:color="auto" w:fill="156082" w:themeFill="accent1"/>
            <w:vAlign w:val="center"/>
            <w:hideMark/>
          </w:tcPr>
          <w:p w14:paraId="2BBA268E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Workforce / training &amp; capability</w:t>
            </w:r>
          </w:p>
        </w:tc>
        <w:tc>
          <w:tcPr>
            <w:tcW w:w="2932" w:type="dxa"/>
            <w:shd w:val="clear" w:color="auto" w:fill="156082" w:themeFill="accent1"/>
            <w:vAlign w:val="center"/>
            <w:hideMark/>
          </w:tcPr>
          <w:p w14:paraId="1F65E17E" w14:textId="77777777" w:rsidR="008D711F" w:rsidRPr="0085739E" w:rsidRDefault="008D711F" w:rsidP="007D753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n-AU"/>
                <w14:ligatures w14:val="none"/>
              </w:rPr>
              <w:t>Escalation / clinical review triggers</w:t>
            </w:r>
          </w:p>
        </w:tc>
      </w:tr>
      <w:tr w:rsidR="008D711F" w:rsidRPr="001B4984" w14:paraId="6B905994" w14:textId="77777777" w:rsidTr="001B4984">
        <w:trPr>
          <w:tblCellSpacing w:w="15" w:type="dxa"/>
        </w:trPr>
        <w:tc>
          <w:tcPr>
            <w:tcW w:w="1515" w:type="dxa"/>
            <w:shd w:val="clear" w:color="auto" w:fill="C1E4F5" w:themeFill="accent1" w:themeFillTint="33"/>
            <w:vAlign w:val="center"/>
          </w:tcPr>
          <w:p w14:paraId="62CB12CA" w14:textId="404E51AA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Clinical safety</w:t>
            </w:r>
          </w:p>
        </w:tc>
        <w:tc>
          <w:tcPr>
            <w:tcW w:w="2664" w:type="dxa"/>
          </w:tcPr>
          <w:p w14:paraId="239CCB04" w14:textId="179FC7CB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Providers must identify and manage high-impact clinical risks (including device-related risks), maintain clinical governance (policy,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monitoring) and ensure safe clinical procedures are done by competent staff. Outcomes should show reduced harm and effective escalation systems. </w:t>
            </w:r>
          </w:p>
        </w:tc>
        <w:tc>
          <w:tcPr>
            <w:tcW w:w="2711" w:type="dxa"/>
          </w:tcPr>
          <w:p w14:paraId="5125270D" w14:textId="6295B287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- Standardised catheter care bundle: daily indication check, aseptic change schedule, </w:t>
            </w:r>
            <w:r w:rsidR="002479D7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catheter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exit-site hygiene, securement, closed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drainage handling, scheduled bag emptying, and clear escalation pathways. Use care checklists for each episode. </w:t>
            </w:r>
          </w:p>
        </w:tc>
        <w:tc>
          <w:tcPr>
            <w:tcW w:w="3040" w:type="dxa"/>
          </w:tcPr>
          <w:p w14:paraId="19580C52" w14:textId="5D026F81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- Maintain a register of indwelling catheters (resident, insertion date, next change, complications). Regularly report safety indicators (catheter-days, CAUTI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incidents, unplanned hospital transfers) to governance. Use data for continuous improvement.</w:t>
            </w:r>
          </w:p>
        </w:tc>
        <w:tc>
          <w:tcPr>
            <w:tcW w:w="2805" w:type="dxa"/>
          </w:tcPr>
          <w:p w14:paraId="61DD5D29" w14:textId="485F6775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 xml:space="preserve">- Governance: </w:t>
            </w:r>
            <w:r w:rsidR="00C76FAE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local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clinical policies aligned to strengthened Standards</w:t>
            </w:r>
            <w:r w:rsidR="00C76FAE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, national or state/territory IPC/catheter guidelines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; clear role of governing body 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to monitor clinical safety; competency frameworks and incident reporting pathways; access to clinical advice (GP/NP/geriatrician). Provide scenario-based training and audits.</w:t>
            </w:r>
          </w:p>
        </w:tc>
        <w:tc>
          <w:tcPr>
            <w:tcW w:w="2932" w:type="dxa"/>
          </w:tcPr>
          <w:p w14:paraId="044BD0A7" w14:textId="09039BF1" w:rsidR="008D711F" w:rsidRPr="0085739E" w:rsidRDefault="008D711F" w:rsidP="007D753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- Any unplanned hospital transfer for sepsis/urosepsis, repeated blockages, or device-related harm prompts immediate clinical governance review and root-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cause analysis. Regulatory reporting where resident harm due to non-compliance</w:t>
            </w:r>
            <w:r w:rsidR="00C76FAE" w:rsidRPr="001B4984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/cognitive deficit</w:t>
            </w:r>
            <w:r w:rsidRPr="0085739E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is suspected.</w:t>
            </w:r>
          </w:p>
        </w:tc>
      </w:tr>
    </w:tbl>
    <w:p w14:paraId="6B2D656A" w14:textId="77777777" w:rsidR="008D711F" w:rsidRPr="001B4984" w:rsidRDefault="008D711F" w:rsidP="007D7534">
      <w:pPr>
        <w:spacing w:after="0" w:line="360" w:lineRule="auto"/>
        <w:rPr>
          <w:rFonts w:ascii="Calibri" w:hAnsi="Calibri" w:cs="Calibri"/>
        </w:rPr>
      </w:pPr>
    </w:p>
    <w:p w14:paraId="41E09074" w14:textId="77777777" w:rsidR="008D711F" w:rsidRPr="007D7534" w:rsidRDefault="008D711F" w:rsidP="007D7534">
      <w:pPr>
        <w:spacing w:after="0" w:line="360" w:lineRule="auto"/>
        <w:rPr>
          <w:rFonts w:ascii="Calibri" w:hAnsi="Calibri" w:cs="Calibri"/>
        </w:rPr>
      </w:pPr>
    </w:p>
    <w:p w14:paraId="644C1C78" w14:textId="77777777" w:rsidR="008D711F" w:rsidRPr="007D7534" w:rsidRDefault="008D711F" w:rsidP="007D7534">
      <w:pPr>
        <w:spacing w:after="0" w:line="360" w:lineRule="auto"/>
        <w:rPr>
          <w:rFonts w:ascii="Calibri" w:hAnsi="Calibri" w:cs="Calibri"/>
        </w:rPr>
      </w:pPr>
    </w:p>
    <w:p w14:paraId="042C739B" w14:textId="77777777" w:rsidR="00476A87" w:rsidRDefault="00476A87" w:rsidP="007D7534">
      <w:pPr>
        <w:spacing w:after="0" w:line="360" w:lineRule="auto"/>
        <w:rPr>
          <w:rFonts w:ascii="Calibri" w:hAnsi="Calibri" w:cs="Calibri"/>
        </w:rPr>
      </w:pPr>
    </w:p>
    <w:p w14:paraId="73865C5C" w14:textId="77777777" w:rsidR="001B498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7503D0C4" w14:textId="77777777" w:rsidR="001B498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24C7537E" w14:textId="77777777" w:rsidR="001B498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1E013791" w14:textId="77777777" w:rsidR="001B498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13F006E2" w14:textId="77777777" w:rsidR="001B498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39489004" w14:textId="77777777" w:rsidR="001B4984" w:rsidRPr="007D7534" w:rsidRDefault="001B4984" w:rsidP="007D7534">
      <w:pPr>
        <w:spacing w:after="0" w:line="360" w:lineRule="auto"/>
        <w:rPr>
          <w:rFonts w:ascii="Calibri" w:hAnsi="Calibri" w:cs="Calibri"/>
        </w:rPr>
      </w:pPr>
    </w:p>
    <w:p w14:paraId="1D1CBDAF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59A3597B" w14:textId="4022D3FD" w:rsidR="00476A87" w:rsidRPr="007D7534" w:rsidRDefault="00476A87" w:rsidP="001B4984">
      <w:pPr>
        <w:pStyle w:val="Heading2"/>
      </w:pPr>
      <w:r w:rsidRPr="007D7534">
        <w:lastRenderedPageBreak/>
        <w:t>References</w:t>
      </w:r>
    </w:p>
    <w:p w14:paraId="30A2DF66" w14:textId="7BA21682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Australian Commission on Safety and Quality in Health Care. (2024). </w:t>
      </w:r>
      <w:r w:rsidRPr="007D7534">
        <w:rPr>
          <w:rStyle w:val="Emphasis"/>
          <w:rFonts w:ascii="Calibri" w:eastAsiaTheme="majorEastAsia" w:hAnsi="Calibri" w:cs="Calibri"/>
        </w:rPr>
        <w:t>The aged care infection prevention and control guide: Chapter 5 — Clinical procedures and invasive devices</w:t>
      </w:r>
      <w:r w:rsidRPr="007D7534">
        <w:rPr>
          <w:rFonts w:ascii="Calibri" w:hAnsi="Calibri" w:cs="Calibri"/>
        </w:rPr>
        <w:t xml:space="preserve"> (PDF). Australian Commission on Safety and Quality in Health Care. </w:t>
      </w:r>
      <w:hyperlink r:id="rId7" w:history="1">
        <w:r w:rsidRPr="007D7534">
          <w:rPr>
            <w:rStyle w:val="Hyperlink"/>
            <w:rFonts w:ascii="Calibri" w:hAnsi="Calibri" w:cs="Calibri"/>
          </w:rPr>
          <w:t>https://www.safetyandquality.gov.au/sites/default/files/2024-08/the_aged_care_ipc_guide_-_chapter_5.pdf</w:t>
        </w:r>
      </w:hyperlink>
      <w:r w:rsidRPr="007D7534">
        <w:rPr>
          <w:rFonts w:ascii="Calibri" w:hAnsi="Calibri" w:cs="Calibri"/>
        </w:rPr>
        <w:t>.</w:t>
      </w:r>
    </w:p>
    <w:p w14:paraId="73611029" w14:textId="727D9CE7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Australian Commission on Safety and Quality in Health Care. (2024). </w:t>
      </w:r>
      <w:r w:rsidRPr="007D7534">
        <w:rPr>
          <w:rStyle w:val="Emphasis"/>
          <w:rFonts w:ascii="Calibri" w:eastAsiaTheme="majorEastAsia" w:hAnsi="Calibri" w:cs="Calibri"/>
        </w:rPr>
        <w:t>The Aged Care Infection Prevention and Control Guide</w:t>
      </w:r>
      <w:r w:rsidRPr="007D7534">
        <w:rPr>
          <w:rFonts w:ascii="Calibri" w:hAnsi="Calibri" w:cs="Calibri"/>
        </w:rPr>
        <w:t xml:space="preserve"> (full guide). </w:t>
      </w:r>
      <w:hyperlink r:id="rId8" w:history="1">
        <w:r w:rsidRPr="007D7534">
          <w:rPr>
            <w:rStyle w:val="Hyperlink"/>
            <w:rFonts w:ascii="Calibri" w:hAnsi="Calibri" w:cs="Calibri"/>
          </w:rPr>
          <w:t>https://www.safetyandquality.gov.au/sites/default/files/2024-08/The-Aged-Care-Infection-Prevention-and-Control-Guide.pdf</w:t>
        </w:r>
      </w:hyperlink>
      <w:r w:rsidRPr="007D7534">
        <w:rPr>
          <w:rFonts w:ascii="Calibri" w:hAnsi="Calibri" w:cs="Calibri"/>
        </w:rPr>
        <w:t>.</w:t>
      </w:r>
    </w:p>
    <w:p w14:paraId="6DB5F95E" w14:textId="616C0A38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 xml:space="preserve">Department of Health, Disability and Ageing (Australian Government). (2025). </w:t>
      </w:r>
      <w:r w:rsidRPr="007D7534">
        <w:rPr>
          <w:rStyle w:val="Emphasis"/>
          <w:rFonts w:ascii="Calibri" w:eastAsiaTheme="majorEastAsia" w:hAnsi="Calibri" w:cs="Calibri"/>
        </w:rPr>
        <w:t>Strengthened aged care quality standards – February 2025 (final draft)</w:t>
      </w:r>
      <w:r w:rsidRPr="007D7534">
        <w:rPr>
          <w:rFonts w:ascii="Calibri" w:hAnsi="Calibri" w:cs="Calibri"/>
        </w:rPr>
        <w:t xml:space="preserve">. </w:t>
      </w:r>
      <w:hyperlink r:id="rId9" w:history="1">
        <w:r w:rsidRPr="007D7534">
          <w:rPr>
            <w:rStyle w:val="Hyperlink"/>
            <w:rFonts w:ascii="Calibri" w:hAnsi="Calibri" w:cs="Calibri"/>
          </w:rPr>
          <w:t>https://www.health.gov.au/resources/publications/strengthened-aged-care-quality-standards-february-2025?language=en</w:t>
        </w:r>
      </w:hyperlink>
      <w:r w:rsidRPr="007D7534">
        <w:rPr>
          <w:rFonts w:ascii="Calibri" w:hAnsi="Calibri" w:cs="Calibri"/>
        </w:rPr>
        <w:t>.</w:t>
      </w:r>
    </w:p>
    <w:p w14:paraId="2199D45C" w14:textId="42BA1934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eastAsiaTheme="majorEastAsia" w:hAnsi="Calibri" w:cs="Calibri"/>
        </w:rPr>
      </w:pPr>
      <w:r w:rsidRPr="007D7534">
        <w:rPr>
          <w:rFonts w:ascii="Calibri" w:hAnsi="Calibri" w:cs="Calibri"/>
        </w:rPr>
        <w:t xml:space="preserve">Aged Care Quality and Safety Commission. (2021). </w:t>
      </w:r>
      <w:r w:rsidRPr="007D7534">
        <w:rPr>
          <w:rStyle w:val="Emphasis"/>
          <w:rFonts w:ascii="Calibri" w:eastAsiaTheme="majorEastAsia" w:hAnsi="Calibri" w:cs="Calibri"/>
        </w:rPr>
        <w:t>User guide to the Clinical Pathway for older people in aged care homes: suspected urinary tract infections</w:t>
      </w:r>
      <w:r w:rsidRPr="007D7534">
        <w:rPr>
          <w:rFonts w:ascii="Calibri" w:hAnsi="Calibri" w:cs="Calibri"/>
        </w:rPr>
        <w:t xml:space="preserve"> (PDF). </w:t>
      </w:r>
      <w:hyperlink r:id="rId10" w:history="1">
        <w:r w:rsidRPr="007D7534">
          <w:rPr>
            <w:rStyle w:val="Hyperlink"/>
            <w:rFonts w:ascii="Calibri" w:hAnsi="Calibri" w:cs="Calibri"/>
          </w:rPr>
          <w:t>https://www.agedcarequality.gov.au/quality-standards/user-guide-clinical-pathway-older-people-aged-care-homes-suspected-urinary-tract-infections</w:t>
        </w:r>
      </w:hyperlink>
    </w:p>
    <w:p w14:paraId="242581A1" w14:textId="2F9F63D7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eastAsiaTheme="majorEastAsia" w:hAnsi="Calibri" w:cs="Calibri"/>
        </w:rPr>
      </w:pPr>
      <w:r w:rsidRPr="007D7534">
        <w:rPr>
          <w:rFonts w:ascii="Calibri" w:hAnsi="Calibri" w:cs="Calibri"/>
        </w:rPr>
        <w:t xml:space="preserve">National Ageing Research Institute (NARI). (2024). </w:t>
      </w:r>
      <w:r w:rsidRPr="007D7534">
        <w:rPr>
          <w:rStyle w:val="Emphasis"/>
          <w:rFonts w:ascii="Calibri" w:eastAsiaTheme="majorEastAsia" w:hAnsi="Calibri" w:cs="Calibri"/>
        </w:rPr>
        <w:t>IDC-IMPROVE project: Improving indwelling urinary catheter care in residential aged care</w:t>
      </w:r>
      <w:r w:rsidRPr="007D7534">
        <w:rPr>
          <w:rFonts w:ascii="Calibri" w:hAnsi="Calibri" w:cs="Calibri"/>
        </w:rPr>
        <w:t xml:space="preserve"> (project summary and catheter care bundle resources). </w:t>
      </w:r>
      <w:bookmarkStart w:id="0" w:name="_Hlk205542331"/>
      <w:r w:rsidRPr="007D7534">
        <w:rPr>
          <w:rFonts w:ascii="Calibri" w:hAnsi="Calibri" w:cs="Calibri"/>
        </w:rPr>
        <w:fldChar w:fldCharType="begin"/>
      </w:r>
      <w:r w:rsidRPr="007D7534">
        <w:rPr>
          <w:rFonts w:ascii="Calibri" w:hAnsi="Calibri" w:cs="Calibri"/>
        </w:rPr>
        <w:instrText>HYPERLINK "</w:instrText>
      </w:r>
      <w:r w:rsidRPr="007D7534">
        <w:rPr>
          <w:rFonts w:ascii="Calibri" w:hAnsi="Calibri" w:cs="Calibri"/>
        </w:rPr>
        <w:instrText>https://www.nari.net.au/idc-improve</w:instrText>
      </w:r>
      <w:r w:rsidRPr="007D7534">
        <w:rPr>
          <w:rFonts w:ascii="Calibri" w:hAnsi="Calibri" w:cs="Calibri"/>
        </w:rPr>
        <w:instrText>"</w:instrText>
      </w:r>
      <w:r w:rsidRPr="007D7534">
        <w:rPr>
          <w:rFonts w:ascii="Calibri" w:hAnsi="Calibri" w:cs="Calibri"/>
        </w:rPr>
        <w:fldChar w:fldCharType="separate"/>
      </w:r>
      <w:r w:rsidRPr="007D7534">
        <w:rPr>
          <w:rStyle w:val="Hyperlink"/>
          <w:rFonts w:ascii="Calibri" w:hAnsi="Calibri" w:cs="Calibri"/>
        </w:rPr>
        <w:t>https://www.nari.net.au/idc-improve</w:t>
      </w:r>
      <w:r w:rsidRPr="007D7534">
        <w:rPr>
          <w:rFonts w:ascii="Calibri" w:hAnsi="Calibri" w:cs="Calibri"/>
        </w:rPr>
        <w:fldChar w:fldCharType="end"/>
      </w:r>
      <w:r w:rsidRPr="007D7534">
        <w:rPr>
          <w:rFonts w:ascii="Calibri" w:hAnsi="Calibri" w:cs="Calibri"/>
        </w:rPr>
        <w:t xml:space="preserve">. </w:t>
      </w:r>
      <w:bookmarkEnd w:id="0"/>
    </w:p>
    <w:p w14:paraId="54F8CF47" w14:textId="0A6C38CD" w:rsidR="00476A87" w:rsidRPr="007D7534" w:rsidRDefault="00476A87" w:rsidP="007D753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7D7534">
        <w:rPr>
          <w:rFonts w:ascii="Calibri" w:hAnsi="Calibri" w:cs="Calibri"/>
        </w:rPr>
        <w:t>Aged Care Quality and Safety Commission. (</w:t>
      </w:r>
      <w:r w:rsidRPr="007D7534">
        <w:rPr>
          <w:rFonts w:ascii="Calibri" w:hAnsi="Calibri" w:cs="Calibri"/>
        </w:rPr>
        <w:t>2025</w:t>
      </w:r>
      <w:r w:rsidRPr="007D7534">
        <w:rPr>
          <w:rFonts w:ascii="Calibri" w:hAnsi="Calibri" w:cs="Calibri"/>
        </w:rPr>
        <w:t xml:space="preserve">). </w:t>
      </w:r>
      <w:r w:rsidRPr="007D7534">
        <w:rPr>
          <w:rStyle w:val="Emphasis"/>
          <w:rFonts w:ascii="Calibri" w:eastAsiaTheme="majorEastAsia" w:hAnsi="Calibri" w:cs="Calibri"/>
        </w:rPr>
        <w:t>Strengthened Quality Standards — quick reference guide</w:t>
      </w:r>
      <w:r w:rsidRPr="007D7534">
        <w:rPr>
          <w:rFonts w:ascii="Calibri" w:hAnsi="Calibri" w:cs="Calibri"/>
        </w:rPr>
        <w:t xml:space="preserve"> (PDF). </w:t>
      </w:r>
      <w:hyperlink r:id="rId11" w:history="1">
        <w:r w:rsidRPr="007D7534">
          <w:rPr>
            <w:rStyle w:val="Hyperlink"/>
            <w:rFonts w:ascii="Calibri" w:hAnsi="Calibri" w:cs="Calibri"/>
          </w:rPr>
          <w:t>https://www.agedcarequality.gov.au/sites/default/files/media/strengthened-quality-standards-quick-reference-guide.pdf</w:t>
        </w:r>
      </w:hyperlink>
      <w:r w:rsidRPr="007D7534">
        <w:rPr>
          <w:rFonts w:ascii="Calibri" w:hAnsi="Calibri" w:cs="Calibri"/>
        </w:rPr>
        <w:t>.</w:t>
      </w:r>
    </w:p>
    <w:p w14:paraId="26087C26" w14:textId="77777777" w:rsidR="00476A87" w:rsidRPr="007D7534" w:rsidRDefault="00476A87" w:rsidP="007D7534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</w:p>
    <w:p w14:paraId="7DBED158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6137AE55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04DF3E40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248B00EE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7B76DD8D" w14:textId="77777777" w:rsidR="00476A87" w:rsidRPr="007D7534" w:rsidRDefault="00476A87" w:rsidP="007D7534">
      <w:pPr>
        <w:spacing w:after="0" w:line="360" w:lineRule="auto"/>
        <w:rPr>
          <w:rFonts w:ascii="Calibri" w:hAnsi="Calibri" w:cs="Calibri"/>
        </w:rPr>
      </w:pPr>
    </w:p>
    <w:p w14:paraId="6ACA57F2" w14:textId="77777777" w:rsidR="008D711F" w:rsidRPr="007D7534" w:rsidRDefault="008D711F" w:rsidP="007D7534">
      <w:pPr>
        <w:spacing w:after="0" w:line="360" w:lineRule="auto"/>
        <w:rPr>
          <w:rFonts w:ascii="Calibri" w:hAnsi="Calibri" w:cs="Calibri"/>
        </w:rPr>
      </w:pPr>
    </w:p>
    <w:p w14:paraId="6E3CC9AF" w14:textId="77777777" w:rsidR="008D711F" w:rsidRPr="007D7534" w:rsidRDefault="008D711F" w:rsidP="007D7534">
      <w:pPr>
        <w:spacing w:after="0" w:line="360" w:lineRule="auto"/>
        <w:rPr>
          <w:rFonts w:ascii="Calibri" w:hAnsi="Calibri" w:cs="Calibri"/>
        </w:rPr>
      </w:pPr>
    </w:p>
    <w:sectPr w:rsidR="008D711F" w:rsidRPr="007D7534" w:rsidSect="008573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207A0"/>
    <w:multiLevelType w:val="hybridMultilevel"/>
    <w:tmpl w:val="76504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E"/>
    <w:rsid w:val="00061E6B"/>
    <w:rsid w:val="001B4984"/>
    <w:rsid w:val="002479D7"/>
    <w:rsid w:val="003133AF"/>
    <w:rsid w:val="00476A87"/>
    <w:rsid w:val="005F6EE4"/>
    <w:rsid w:val="007D7534"/>
    <w:rsid w:val="0085739E"/>
    <w:rsid w:val="008D711F"/>
    <w:rsid w:val="00C40242"/>
    <w:rsid w:val="00C76FAE"/>
    <w:rsid w:val="00E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144E"/>
  <w15:chartTrackingRefBased/>
  <w15:docId w15:val="{8395D7AD-7A51-46A5-8382-68D01A7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476A87"/>
    <w:rPr>
      <w:i/>
      <w:iCs/>
    </w:rPr>
  </w:style>
  <w:style w:type="character" w:customStyle="1" w:styleId="ms-1">
    <w:name w:val="ms-1"/>
    <w:basedOn w:val="DefaultParagraphFont"/>
    <w:rsid w:val="00476A87"/>
  </w:style>
  <w:style w:type="character" w:customStyle="1" w:styleId="max-w-full">
    <w:name w:val="max-w-full"/>
    <w:basedOn w:val="DefaultParagraphFont"/>
    <w:rsid w:val="00476A87"/>
  </w:style>
  <w:style w:type="character" w:customStyle="1" w:styleId="-me-1">
    <w:name w:val="-me-1"/>
    <w:basedOn w:val="DefaultParagraphFont"/>
    <w:rsid w:val="00476A87"/>
  </w:style>
  <w:style w:type="character" w:styleId="Hyperlink">
    <w:name w:val="Hyperlink"/>
    <w:basedOn w:val="DefaultParagraphFont"/>
    <w:uiPriority w:val="99"/>
    <w:unhideWhenUsed/>
    <w:rsid w:val="00476A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sites/default/files/2024-08/The-Aged-Care-Infection-Prevention-and-Control-Guid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fetyandquality.gov.au/sites/default/files/2024-08/the_aged_care_ipc_guide_-_chapter_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agicapp.org/#/guideline/Jn37kn" TargetMode="External"/><Relationship Id="rId11" Type="http://schemas.openxmlformats.org/officeDocument/2006/relationships/hyperlink" Target="https://www.agedcarequality.gov.au/sites/default/files/media/strengthened-quality-standards-quick-reference-guide.pdf" TargetMode="External"/><Relationship Id="rId5" Type="http://schemas.openxmlformats.org/officeDocument/2006/relationships/hyperlink" Target="https://www.safetyandquality.gov.au/sites/default/files/2024-08/The-Aged-Care-Infection-Prevention-and-Control-Guide.pdf" TargetMode="External"/><Relationship Id="rId10" Type="http://schemas.openxmlformats.org/officeDocument/2006/relationships/hyperlink" Target="https://www.agedcarequality.gov.au/quality-standards/user-guide-clinical-pathway-older-people-aged-care-homes-suspected-urinary-tract-inf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gov.au/resources/publications/strengthened-aged-care-quality-standards-february-2025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Spinks</dc:creator>
  <cp:keywords/>
  <dc:description/>
  <cp:lastModifiedBy>Carrie Spinks</cp:lastModifiedBy>
  <cp:revision>4</cp:revision>
  <dcterms:created xsi:type="dcterms:W3CDTF">2025-08-07T23:15:00Z</dcterms:created>
  <dcterms:modified xsi:type="dcterms:W3CDTF">2025-08-08T00:56:00Z</dcterms:modified>
</cp:coreProperties>
</file>